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AE" w:rsidRPr="00470CAE" w:rsidRDefault="00470CAE" w:rsidP="0047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0E3" w:rsidRDefault="00332B02" w:rsidP="00D1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>Медико-технічні</w:t>
      </w:r>
      <w:proofErr w:type="spellEnd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 xml:space="preserve"> вимоги </w:t>
      </w:r>
      <w:r w:rsidR="00470CAE" w:rsidRPr="00332B02">
        <w:rPr>
          <w:rFonts w:ascii="Times New Roman" w:eastAsia="Times New Roman" w:hAnsi="Times New Roman" w:cs="Times New Roman"/>
          <w:sz w:val="28"/>
          <w:szCs w:val="28"/>
        </w:rPr>
        <w:t>до товару</w:t>
      </w:r>
      <w:r w:rsidR="00470CAE" w:rsidRPr="00470C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449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26835" w:rsidRPr="005268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Візок ТАП анатомічна</w:t>
      </w:r>
    </w:p>
    <w:p w:rsidR="00D100E3" w:rsidRDefault="00D100E3" w:rsidP="00D1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ДК 021:2015: 33192000-2:</w:t>
      </w:r>
      <w:r w:rsidRPr="00D10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Меблі медичного призначення.</w:t>
      </w:r>
    </w:p>
    <w:p w:rsidR="00F94BE2" w:rsidRDefault="00F94BE2" w:rsidP="00D100E3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p w:rsidR="000A3D79" w:rsidRDefault="00526835" w:rsidP="00332B02">
      <w:pPr>
        <w:pStyle w:val="HTML"/>
        <w:shd w:val="clear" w:color="auto" w:fill="F8F9FA"/>
        <w:spacing w:line="0" w:lineRule="atLeast"/>
        <w:jc w:val="center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noProof/>
          <w:color w:val="202124"/>
          <w:sz w:val="24"/>
          <w:szCs w:val="24"/>
          <w:u w:val="single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79" w:rsidRPr="00332B02" w:rsidRDefault="000A3D79" w:rsidP="000A3D79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B65890" w:rsidRPr="00BD28E2" w:rsidTr="00B65890">
        <w:tc>
          <w:tcPr>
            <w:tcW w:w="7905" w:type="dxa"/>
            <w:vAlign w:val="center"/>
          </w:tcPr>
          <w:p w:rsidR="00B65890" w:rsidRPr="00BD28E2" w:rsidRDefault="00B65890" w:rsidP="00BD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proofErr w:type="spellStart"/>
            <w:r w:rsidRPr="00CB309E">
              <w:t>Відповідність</w:t>
            </w:r>
            <w:proofErr w:type="spellEnd"/>
            <w:r w:rsidRPr="00CB309E">
              <w:t xml:space="preserve"> ТАК/НІ  </w:t>
            </w:r>
            <w:proofErr w:type="gramStart"/>
            <w:r w:rsidRPr="00CB309E">
              <w:t xml:space="preserve">з </w:t>
            </w:r>
            <w:proofErr w:type="spellStart"/>
            <w:r w:rsidRPr="00CB309E">
              <w:t>обов</w:t>
            </w:r>
            <w:proofErr w:type="gramEnd"/>
            <w:r w:rsidRPr="00CB309E">
              <w:t>’язковим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посиланням</w:t>
            </w:r>
            <w:proofErr w:type="spellEnd"/>
            <w:r w:rsidRPr="00CB309E">
              <w:t xml:space="preserve"> на </w:t>
            </w:r>
            <w:proofErr w:type="spellStart"/>
            <w:r w:rsidRPr="00CB309E">
              <w:t>відповідний</w:t>
            </w:r>
            <w:proofErr w:type="spellEnd"/>
            <w:r w:rsidRPr="00CB309E">
              <w:t xml:space="preserve"> пункт </w:t>
            </w:r>
            <w:proofErr w:type="spellStart"/>
            <w:r w:rsidRPr="00CB309E">
              <w:t>інструкції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або</w:t>
            </w:r>
            <w:proofErr w:type="spellEnd"/>
            <w:r w:rsidRPr="00CB309E">
              <w:t xml:space="preserve"> паспорту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4751A" w:rsidRDefault="00526835" w:rsidP="00B4751A">
            <w:pPr>
              <w:jc w:val="both"/>
              <w:rPr>
                <w:rFonts w:asciiTheme="majorHAnsi" w:hAnsiTheme="majorHAnsi"/>
                <w:lang w:val="uk-UA"/>
              </w:rPr>
            </w:pPr>
            <w:proofErr w:type="spellStart"/>
            <w:r w:rsidRPr="00526835">
              <w:rPr>
                <w:rFonts w:asciiTheme="majorHAnsi" w:hAnsiTheme="majorHAnsi"/>
              </w:rPr>
              <w:t>Візок</w:t>
            </w:r>
            <w:proofErr w:type="spellEnd"/>
            <w:r w:rsidRPr="00526835">
              <w:rPr>
                <w:rFonts w:asciiTheme="majorHAnsi" w:hAnsiTheme="majorHAnsi"/>
              </w:rPr>
              <w:t xml:space="preserve"> ТАП </w:t>
            </w:r>
            <w:proofErr w:type="spellStart"/>
            <w:r w:rsidRPr="00526835">
              <w:rPr>
                <w:rFonts w:asciiTheme="majorHAnsi" w:hAnsiTheme="majorHAnsi"/>
              </w:rPr>
              <w:t>анатомічна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використовується</w:t>
            </w:r>
            <w:proofErr w:type="spellEnd"/>
            <w:r w:rsidRPr="00526835">
              <w:rPr>
                <w:rFonts w:asciiTheme="majorHAnsi" w:hAnsiTheme="majorHAnsi"/>
              </w:rPr>
              <w:t xml:space="preserve"> в </w:t>
            </w:r>
            <w:proofErr w:type="spellStart"/>
            <w:proofErr w:type="gramStart"/>
            <w:r w:rsidRPr="00526835">
              <w:rPr>
                <w:rFonts w:asciiTheme="majorHAnsi" w:hAnsiTheme="majorHAnsi"/>
              </w:rPr>
              <w:t>л</w:t>
            </w:r>
            <w:proofErr w:type="gramEnd"/>
            <w:r w:rsidRPr="00526835">
              <w:rPr>
                <w:rFonts w:asciiTheme="majorHAnsi" w:hAnsiTheme="majorHAnsi"/>
              </w:rPr>
              <w:t>ікувальних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установах</w:t>
            </w:r>
            <w:proofErr w:type="spellEnd"/>
            <w:r w:rsidRPr="00526835">
              <w:rPr>
                <w:rFonts w:asciiTheme="majorHAnsi" w:hAnsiTheme="majorHAnsi"/>
              </w:rPr>
              <w:t xml:space="preserve"> і </w:t>
            </w:r>
            <w:proofErr w:type="spellStart"/>
            <w:r w:rsidRPr="00526835">
              <w:rPr>
                <w:rFonts w:asciiTheme="majorHAnsi" w:hAnsiTheme="majorHAnsi"/>
              </w:rPr>
              <w:t>призначений</w:t>
            </w:r>
            <w:proofErr w:type="spellEnd"/>
            <w:r w:rsidRPr="00526835">
              <w:rPr>
                <w:rFonts w:asciiTheme="majorHAnsi" w:hAnsiTheme="majorHAnsi"/>
              </w:rPr>
              <w:t xml:space="preserve"> для </w:t>
            </w:r>
            <w:proofErr w:type="spellStart"/>
            <w:r w:rsidRPr="00526835">
              <w:rPr>
                <w:rFonts w:asciiTheme="majorHAnsi" w:hAnsiTheme="majorHAnsi"/>
              </w:rPr>
              <w:t>транспортування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хворих</w:t>
            </w:r>
            <w:proofErr w:type="spellEnd"/>
            <w:r w:rsidRPr="00526835">
              <w:rPr>
                <w:rFonts w:asciiTheme="majorHAnsi" w:hAnsiTheme="majorHAnsi"/>
              </w:rPr>
              <w:t xml:space="preserve"> по </w:t>
            </w:r>
            <w:proofErr w:type="spellStart"/>
            <w:r w:rsidRPr="00526835">
              <w:rPr>
                <w:rFonts w:asciiTheme="majorHAnsi" w:hAnsiTheme="majorHAnsi"/>
              </w:rPr>
              <w:t>медичному</w:t>
            </w:r>
            <w:proofErr w:type="spellEnd"/>
            <w:r w:rsidRPr="00526835">
              <w:rPr>
                <w:rFonts w:asciiTheme="majorHAnsi" w:hAnsiTheme="majorHAnsi"/>
              </w:rPr>
              <w:t xml:space="preserve"> закладу і до </w:t>
            </w:r>
            <w:proofErr w:type="spellStart"/>
            <w:r w:rsidRPr="00526835">
              <w:rPr>
                <w:rFonts w:asciiTheme="majorHAnsi" w:hAnsiTheme="majorHAnsi"/>
              </w:rPr>
              <w:t>машини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швидкої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допомоги</w:t>
            </w:r>
            <w:proofErr w:type="spellEnd"/>
            <w:r w:rsidRPr="00526835">
              <w:rPr>
                <w:rFonts w:asciiTheme="majorHAnsi" w:hAnsiTheme="majorHAnsi"/>
              </w:rPr>
              <w:t xml:space="preserve">.     </w:t>
            </w:r>
            <w:proofErr w:type="spellStart"/>
            <w:r w:rsidRPr="00526835">
              <w:rPr>
                <w:rFonts w:asciiTheme="majorHAnsi" w:hAnsiTheme="majorHAnsi"/>
              </w:rPr>
              <w:t>Робоча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поверхня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панелі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візка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виконана</w:t>
            </w:r>
            <w:proofErr w:type="spellEnd"/>
            <w:r w:rsidRPr="00526835">
              <w:rPr>
                <w:rFonts w:asciiTheme="majorHAnsi" w:hAnsiTheme="majorHAnsi"/>
              </w:rPr>
              <w:t xml:space="preserve"> з </w:t>
            </w:r>
            <w:proofErr w:type="spellStart"/>
            <w:r w:rsidRPr="00526835">
              <w:rPr>
                <w:rFonts w:asciiTheme="majorHAnsi" w:hAnsiTheme="majorHAnsi"/>
              </w:rPr>
              <w:t>нержавіючої</w:t>
            </w:r>
            <w:proofErr w:type="spellEnd"/>
            <w:r w:rsidRPr="00526835">
              <w:rPr>
                <w:rFonts w:asciiTheme="majorHAnsi" w:hAnsiTheme="majorHAnsi"/>
              </w:rPr>
              <w:t xml:space="preserve"> </w:t>
            </w:r>
            <w:proofErr w:type="spellStart"/>
            <w:r w:rsidRPr="00526835">
              <w:rPr>
                <w:rFonts w:asciiTheme="majorHAnsi" w:hAnsiTheme="majorHAnsi"/>
              </w:rPr>
              <w:t>сталі</w:t>
            </w:r>
            <w:proofErr w:type="spellEnd"/>
            <w:r w:rsidRPr="00526835">
              <w:rPr>
                <w:rFonts w:asciiTheme="majorHAnsi" w:hAnsiTheme="majorHAnsi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1)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ТЕХНIЧНI ХАРАКТЕРИСТИКИ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2)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526835" w:rsidRPr="00BD28E2" w:rsidTr="00B65890">
        <w:tc>
          <w:tcPr>
            <w:tcW w:w="7905" w:type="dxa"/>
          </w:tcPr>
          <w:p w:rsidR="00526835" w:rsidRPr="00526835" w:rsidRDefault="00526835" w:rsidP="0052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66" w:type="dxa"/>
            <w:vMerge/>
            <w:vAlign w:val="center"/>
          </w:tcPr>
          <w:p w:rsidR="00526835" w:rsidRPr="00BD28E2" w:rsidRDefault="00526835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35" w:rsidRPr="00BD28E2" w:rsidTr="00B65890">
        <w:tc>
          <w:tcPr>
            <w:tcW w:w="7905" w:type="dxa"/>
          </w:tcPr>
          <w:p w:rsidR="00526835" w:rsidRPr="00526835" w:rsidRDefault="00526835" w:rsidP="0052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 xml:space="preserve"> 800 мм;</w:t>
            </w:r>
          </w:p>
        </w:tc>
        <w:tc>
          <w:tcPr>
            <w:tcW w:w="1666" w:type="dxa"/>
            <w:vMerge/>
            <w:vAlign w:val="center"/>
          </w:tcPr>
          <w:p w:rsidR="00526835" w:rsidRPr="00BD28E2" w:rsidRDefault="00526835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35" w:rsidRPr="00BD28E2" w:rsidTr="00B65890">
        <w:tc>
          <w:tcPr>
            <w:tcW w:w="7905" w:type="dxa"/>
          </w:tcPr>
          <w:p w:rsidR="00526835" w:rsidRPr="00526835" w:rsidRDefault="00526835" w:rsidP="0052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- ширина 500 мм;</w:t>
            </w:r>
          </w:p>
        </w:tc>
        <w:tc>
          <w:tcPr>
            <w:tcW w:w="1666" w:type="dxa"/>
            <w:vMerge/>
            <w:vAlign w:val="center"/>
          </w:tcPr>
          <w:p w:rsidR="00526835" w:rsidRPr="00BD28E2" w:rsidRDefault="00526835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35" w:rsidRPr="00BD28E2" w:rsidTr="00B65890">
        <w:tc>
          <w:tcPr>
            <w:tcW w:w="7905" w:type="dxa"/>
          </w:tcPr>
          <w:p w:rsidR="00526835" w:rsidRPr="00526835" w:rsidRDefault="00526835" w:rsidP="0052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 xml:space="preserve"> 2100 мм;</w:t>
            </w:r>
          </w:p>
        </w:tc>
        <w:tc>
          <w:tcPr>
            <w:tcW w:w="1666" w:type="dxa"/>
            <w:vMerge/>
            <w:vAlign w:val="center"/>
          </w:tcPr>
          <w:p w:rsidR="00526835" w:rsidRPr="00BD28E2" w:rsidRDefault="00526835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35" w:rsidRPr="00BD28E2" w:rsidTr="00B65890">
        <w:tc>
          <w:tcPr>
            <w:tcW w:w="7905" w:type="dxa"/>
          </w:tcPr>
          <w:p w:rsidR="00526835" w:rsidRPr="00526835" w:rsidRDefault="00526835" w:rsidP="0052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льше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 xml:space="preserve"> 40 кг.</w:t>
            </w:r>
          </w:p>
        </w:tc>
        <w:tc>
          <w:tcPr>
            <w:tcW w:w="1666" w:type="dxa"/>
            <w:vMerge/>
            <w:vAlign w:val="center"/>
          </w:tcPr>
          <w:p w:rsidR="00526835" w:rsidRPr="00BD28E2" w:rsidRDefault="00526835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35" w:rsidRPr="00BD28E2" w:rsidTr="00B65890">
        <w:tc>
          <w:tcPr>
            <w:tcW w:w="7905" w:type="dxa"/>
          </w:tcPr>
          <w:p w:rsidR="00526835" w:rsidRPr="00526835" w:rsidRDefault="00B4751A" w:rsidP="0052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Колісна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опора: Ø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  <w:r w:rsidR="00526835" w:rsidRPr="00526835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</w:p>
        </w:tc>
        <w:tc>
          <w:tcPr>
            <w:tcW w:w="1666" w:type="dxa"/>
            <w:vMerge/>
            <w:vAlign w:val="center"/>
          </w:tcPr>
          <w:p w:rsidR="00526835" w:rsidRPr="00BD28E2" w:rsidRDefault="00526835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35" w:rsidRPr="00BD28E2" w:rsidTr="00B65890">
        <w:tc>
          <w:tcPr>
            <w:tcW w:w="7905" w:type="dxa"/>
          </w:tcPr>
          <w:p w:rsidR="00526835" w:rsidRPr="00526835" w:rsidRDefault="00526835" w:rsidP="0052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Номінальне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>льше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</w:rPr>
              <w:t xml:space="preserve"> 240 кг.</w:t>
            </w:r>
          </w:p>
        </w:tc>
        <w:tc>
          <w:tcPr>
            <w:tcW w:w="1666" w:type="dxa"/>
            <w:vMerge/>
            <w:vAlign w:val="center"/>
          </w:tcPr>
          <w:p w:rsidR="00526835" w:rsidRPr="00BD28E2" w:rsidRDefault="00526835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ПРИСТРІЙ І ПРИНЦИП РОБОТИ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4)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B65890" w:rsidRPr="007009C3" w:rsidTr="00B65890">
        <w:tc>
          <w:tcPr>
            <w:tcW w:w="7905" w:type="dxa"/>
          </w:tcPr>
          <w:p w:rsidR="00526835" w:rsidRPr="00526835" w:rsidRDefault="00526835" w:rsidP="00526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Візок являє собою нерозбірну каркасну конструкцію, виконану з профільної металевої труби і встановлену на чотири поворотних колеса, два з яких, встановлені по діагоналі, забезпечені гальмами. Зверху до </w:t>
            </w: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боковин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каркаса приварені чотири кронштейна для установки знімних носилок. </w:t>
            </w:r>
            <w:proofErr w:type="spellStart"/>
            <w:r w:rsidRPr="00526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Насилки</w:t>
            </w:r>
            <w:proofErr w:type="spellEnd"/>
            <w:r w:rsidRPr="00526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являють собою трубчасту зварену раму, що спирається на чотири ніжки. На кінцях брусів надіті гумові ручки. Панель носилок виконана з нержавіючої сталі</w:t>
            </w:r>
          </w:p>
          <w:p w:rsidR="00526835" w:rsidRPr="00526835" w:rsidRDefault="00526835" w:rsidP="00526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Каркас візка пофарбований білою порошковою фарбою, що має високу міцність і зносостійкість.</w:t>
            </w:r>
          </w:p>
          <w:p w:rsidR="00B65890" w:rsidRPr="00BD28E2" w:rsidRDefault="00526835" w:rsidP="005268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матеріали, використані у виробництві Виробу, сертифіковані належним чином.</w:t>
            </w:r>
          </w:p>
        </w:tc>
        <w:tc>
          <w:tcPr>
            <w:tcW w:w="1666" w:type="dxa"/>
            <w:vMerge/>
            <w:vAlign w:val="center"/>
          </w:tcPr>
          <w:p w:rsidR="00B65890" w:rsidRPr="00BD28E2" w:rsidRDefault="00B65890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6F4D49" w:rsidRDefault="00526835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8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Візок ТАП анатомічна відповідає ДСТУ ГОСТ 16371: 2016 і визнане придатним до експлуатації.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6)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термін експлуатації - 12 місяців з дня продажу, але не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бiльше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мiсяцiв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виготовлення.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7.2)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кція з експлуатації українською мовою.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------------------------------------------------------------------------------------------------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------------------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ISO-13485:2018 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 та реалізації медичних виробів для реабілітації, покращення перебігу хвороби, меблів медичних та лікарняних ліжок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сертифікат на систему управління якістю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ISO-9001</w:t>
            </w:r>
            <w:r w:rsidRPr="0099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:2018 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оптової торгівлі медичними товарами; неспеціалізованої оптової торгівлі; роздрібної торгівлі медичними й ортопедичними товарами в спеціалізованих магазинах, коди КВЕД згідно КВЕД-2010: 46.46, 46.90, 47.74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ISO-9001:2018 в якому повинно бути зазначено «виробництва та реалізації медичних виробів для реабілітації, покращення перебігу хвороби, меблів медичних та лікарняних ліжок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код КВЕД згідно КВЕД-2010: 32,50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9933DD" w:rsidTr="00B65890">
        <w:tc>
          <w:tcPr>
            <w:tcW w:w="7905" w:type="dxa"/>
          </w:tcPr>
          <w:p w:rsidR="00B65890" w:rsidRPr="005F5A6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державної санітарно-епідеміологічної експертизи на меблі медичні в асортименті 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гарантійного листа від виробника або його офіційного представника в Україні про можливість постачання та термін постачання апаратів (надати оригінал відповідного документу)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 повинен бути введений в обіг в установленому порядку відповідно до законодавства України у сфері, що регулює відносини технічного регулювання та оцінки відповідності медичних виробів, а також допоміжних засобів до них, шляхом внесення та включення відомостей до «Реєстру осіб відповідальних за введення медичних виробів, активних медичних виробів, які імплантують, та медичних виробів для діагностики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vitro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обіг» (з посиланням на відповідний Реєстр) та/або у разі залучення органу з оцінку відповідності - наявністю відповідного сертифікату.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Декларація про відповідність вимогам технічного регламенту щодо медичних виробів.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Обов’язково прикріпити у своїй пропозиції фото запропонованого товару, щоб замовник міг об’єктивно оцінювати запропоновані учасником товари.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0F070B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виготовлення не раніше 20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 виробник Україна.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</w:tbl>
    <w:p w:rsidR="00F94BE2" w:rsidRPr="00F94BE2" w:rsidRDefault="00BD28E2" w:rsidP="00A5449C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Кількість:</w:t>
      </w:r>
      <w:r w:rsidRPr="00F94BE2">
        <w:rPr>
          <w:b/>
          <w:lang w:val="uk-UA"/>
        </w:rPr>
        <w:t xml:space="preserve"> </w:t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1 шт</w:t>
      </w:r>
      <w:r w:rsidRPr="00AC2F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0CAE" w:rsidRPr="00AC2FBE" w:rsidRDefault="00903D4D" w:rsidP="00470C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A29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9925C7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>У вартість товару включені витрати на транспортування, сплату податків та інших зборів та обов’язкових платежів, в т.ч. ПДВ, тобто вказати ціну товару, за якою він відпускається покупцям.</w:t>
      </w:r>
    </w:p>
    <w:p w:rsidR="007805DC" w:rsidRPr="00876A29" w:rsidRDefault="0060472B" w:rsidP="007805D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>Доставка товару здійснюється Постачальником за власні кошти за адресою Замовника.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</w:t>
      </w:r>
      <w:r w:rsidR="007805DC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Товар повинен передаватися Покупцю в упаковці, яка відповідає характеру товару, забезпечує цілісність товару та збереження його якості під час перевезення.</w:t>
      </w:r>
    </w:p>
    <w:p w:rsidR="00470CAE" w:rsidRDefault="0060472B" w:rsidP="0060472B">
      <w:pPr>
        <w:tabs>
          <w:tab w:val="left" w:pos="284"/>
        </w:tabs>
        <w:rPr>
          <w:rFonts w:ascii="Times New Roman" w:hAnsi="Times New Roman" w:cs="Times New Roman"/>
          <w:position w:val="-2"/>
          <w:sz w:val="24"/>
          <w:szCs w:val="24"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Якщо поставлений товар виявиться неякісним, або таким, що не відповідає умовам, Постачальник зобов’язаний замінити цей товар. Всі витрати, пов’язані із заміною товару неналежної якості несе Постачальник.</w:t>
      </w:r>
    </w:p>
    <w:p w:rsidR="00AC2FBE" w:rsidRPr="00AC2FBE" w:rsidRDefault="00F94BE2" w:rsidP="00F94BE2">
      <w:pPr>
        <w:tabs>
          <w:tab w:val="left" w:pos="284"/>
        </w:tabs>
        <w:rPr>
          <w:i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</w:t>
      </w:r>
      <w:r w:rsidR="001D3DA4">
        <w:rPr>
          <w:rFonts w:ascii="Times New Roman" w:eastAsia="Calibri" w:hAnsi="Times New Roman" w:cs="Times New Roman"/>
          <w:i/>
          <w:position w:val="-2"/>
          <w:lang w:val="uk-UA"/>
        </w:rPr>
        <w:t xml:space="preserve">    </w:t>
      </w:r>
      <w:r w:rsidR="007805DC">
        <w:rPr>
          <w:rFonts w:ascii="Times New Roman" w:eastAsia="Calibri" w:hAnsi="Times New Roman" w:cs="Times New Roman"/>
          <w:i/>
          <w:position w:val="-2"/>
          <w:lang w:val="uk-UA"/>
        </w:rPr>
        <w:t xml:space="preserve">     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 xml:space="preserve">*У разі, якщо у даних медико-технічних вимогах йде посилання на конкретну марку чи фірму, патент, конструкцію або тип товару, то вважається, що медико-технічні вимоги містять вираз </w:t>
      </w:r>
      <w:r w:rsidR="00470CAE" w:rsidRPr="00E20E1B">
        <w:rPr>
          <w:rFonts w:ascii="Times New Roman" w:eastAsia="Calibri" w:hAnsi="Times New Roman" w:cs="Times New Roman"/>
          <w:b/>
          <w:i/>
          <w:position w:val="-2"/>
          <w:lang w:val="uk-UA"/>
        </w:rPr>
        <w:t>(або еквівалент)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>. При цьому, запропонований учасником еквівалент товару за своїми медико-технічними характеристиками повинен повністю відповідати вимогам тендерної документації Замовника.</w:t>
      </w:r>
    </w:p>
    <w:sectPr w:rsidR="00AC2FBE" w:rsidRPr="00AC2FBE" w:rsidSect="0059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15"/>
    <w:multiLevelType w:val="hybridMultilevel"/>
    <w:tmpl w:val="DFA4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566B"/>
    <w:multiLevelType w:val="hybridMultilevel"/>
    <w:tmpl w:val="3D5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77E89"/>
    <w:multiLevelType w:val="hybridMultilevel"/>
    <w:tmpl w:val="34749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7972"/>
    <w:multiLevelType w:val="hybridMultilevel"/>
    <w:tmpl w:val="B7AC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42E46"/>
    <w:multiLevelType w:val="hybridMultilevel"/>
    <w:tmpl w:val="393614A4"/>
    <w:lvl w:ilvl="0" w:tplc="8F10E5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17CA9"/>
    <w:multiLevelType w:val="hybridMultilevel"/>
    <w:tmpl w:val="6B62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919B0"/>
    <w:multiLevelType w:val="hybridMultilevel"/>
    <w:tmpl w:val="632E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9787D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A05A9E"/>
    <w:multiLevelType w:val="hybridMultilevel"/>
    <w:tmpl w:val="43569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C694C"/>
    <w:multiLevelType w:val="hybridMultilevel"/>
    <w:tmpl w:val="BBC8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A6D95"/>
    <w:multiLevelType w:val="hybridMultilevel"/>
    <w:tmpl w:val="6834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476B8"/>
    <w:multiLevelType w:val="hybridMultilevel"/>
    <w:tmpl w:val="AB5C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351F2"/>
    <w:multiLevelType w:val="hybridMultilevel"/>
    <w:tmpl w:val="F7C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67B5A"/>
    <w:multiLevelType w:val="hybridMultilevel"/>
    <w:tmpl w:val="085C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D0B98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80790F"/>
    <w:multiLevelType w:val="hybridMultilevel"/>
    <w:tmpl w:val="1A88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27D38"/>
    <w:multiLevelType w:val="hybridMultilevel"/>
    <w:tmpl w:val="400C8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793"/>
    <w:multiLevelType w:val="multilevel"/>
    <w:tmpl w:val="A16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C4887"/>
    <w:multiLevelType w:val="hybridMultilevel"/>
    <w:tmpl w:val="47D64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57EF9"/>
    <w:multiLevelType w:val="hybridMultilevel"/>
    <w:tmpl w:val="EE72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B0BD5"/>
    <w:multiLevelType w:val="hybridMultilevel"/>
    <w:tmpl w:val="EDC0744A"/>
    <w:lvl w:ilvl="0" w:tplc="7A2C75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23A53"/>
    <w:multiLevelType w:val="hybridMultilevel"/>
    <w:tmpl w:val="8CCE2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7"/>
  </w:num>
  <w:num w:numId="5">
    <w:abstractNumId w:val="3"/>
  </w:num>
  <w:num w:numId="6">
    <w:abstractNumId w:val="15"/>
  </w:num>
  <w:num w:numId="7">
    <w:abstractNumId w:val="5"/>
  </w:num>
  <w:num w:numId="8">
    <w:abstractNumId w:val="12"/>
  </w:num>
  <w:num w:numId="9">
    <w:abstractNumId w:val="18"/>
  </w:num>
  <w:num w:numId="10">
    <w:abstractNumId w:val="19"/>
  </w:num>
  <w:num w:numId="11">
    <w:abstractNumId w:val="0"/>
  </w:num>
  <w:num w:numId="12">
    <w:abstractNumId w:val="1"/>
  </w:num>
  <w:num w:numId="13">
    <w:abstractNumId w:val="6"/>
  </w:num>
  <w:num w:numId="14">
    <w:abstractNumId w:val="4"/>
  </w:num>
  <w:num w:numId="15">
    <w:abstractNumId w:val="16"/>
  </w:num>
  <w:num w:numId="16">
    <w:abstractNumId w:val="21"/>
  </w:num>
  <w:num w:numId="17">
    <w:abstractNumId w:val="13"/>
  </w:num>
  <w:num w:numId="18">
    <w:abstractNumId w:val="10"/>
  </w:num>
  <w:num w:numId="19">
    <w:abstractNumId w:val="20"/>
  </w:num>
  <w:num w:numId="20">
    <w:abstractNumId w:val="8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F6"/>
    <w:rsid w:val="00042B09"/>
    <w:rsid w:val="00072BBB"/>
    <w:rsid w:val="000A2487"/>
    <w:rsid w:val="000A3D79"/>
    <w:rsid w:val="000C1FFB"/>
    <w:rsid w:val="000C613F"/>
    <w:rsid w:val="000F070B"/>
    <w:rsid w:val="00131B8F"/>
    <w:rsid w:val="001466FB"/>
    <w:rsid w:val="00173C8E"/>
    <w:rsid w:val="001D3DA4"/>
    <w:rsid w:val="00206AF6"/>
    <w:rsid w:val="00230993"/>
    <w:rsid w:val="002B699D"/>
    <w:rsid w:val="00304116"/>
    <w:rsid w:val="00322C88"/>
    <w:rsid w:val="00332B02"/>
    <w:rsid w:val="003673C8"/>
    <w:rsid w:val="003748F6"/>
    <w:rsid w:val="00411ADE"/>
    <w:rsid w:val="004307C4"/>
    <w:rsid w:val="00470CAE"/>
    <w:rsid w:val="00495082"/>
    <w:rsid w:val="00526835"/>
    <w:rsid w:val="005443B5"/>
    <w:rsid w:val="00560677"/>
    <w:rsid w:val="00597C96"/>
    <w:rsid w:val="005F4C18"/>
    <w:rsid w:val="005F5A62"/>
    <w:rsid w:val="0060472B"/>
    <w:rsid w:val="00621F60"/>
    <w:rsid w:val="006D3C1E"/>
    <w:rsid w:val="006F4D49"/>
    <w:rsid w:val="007009C3"/>
    <w:rsid w:val="00721AD6"/>
    <w:rsid w:val="007316E4"/>
    <w:rsid w:val="007805DC"/>
    <w:rsid w:val="0079192E"/>
    <w:rsid w:val="007A4BDE"/>
    <w:rsid w:val="007A78C9"/>
    <w:rsid w:val="00834F32"/>
    <w:rsid w:val="00876A29"/>
    <w:rsid w:val="008A206B"/>
    <w:rsid w:val="00903D4D"/>
    <w:rsid w:val="00957EFD"/>
    <w:rsid w:val="00984EAA"/>
    <w:rsid w:val="00986F14"/>
    <w:rsid w:val="009925C7"/>
    <w:rsid w:val="009933DD"/>
    <w:rsid w:val="009C369F"/>
    <w:rsid w:val="00A15258"/>
    <w:rsid w:val="00A5449C"/>
    <w:rsid w:val="00A706BA"/>
    <w:rsid w:val="00A82DCE"/>
    <w:rsid w:val="00A863D1"/>
    <w:rsid w:val="00AC2FBE"/>
    <w:rsid w:val="00B05842"/>
    <w:rsid w:val="00B3001A"/>
    <w:rsid w:val="00B33DC3"/>
    <w:rsid w:val="00B459F6"/>
    <w:rsid w:val="00B4751A"/>
    <w:rsid w:val="00B65890"/>
    <w:rsid w:val="00BD28E2"/>
    <w:rsid w:val="00BD5B74"/>
    <w:rsid w:val="00C43C24"/>
    <w:rsid w:val="00D02AE1"/>
    <w:rsid w:val="00D100E3"/>
    <w:rsid w:val="00D11CDC"/>
    <w:rsid w:val="00D756E0"/>
    <w:rsid w:val="00D920E5"/>
    <w:rsid w:val="00DF3116"/>
    <w:rsid w:val="00E20E1B"/>
    <w:rsid w:val="00E71978"/>
    <w:rsid w:val="00ED7497"/>
    <w:rsid w:val="00F44B03"/>
    <w:rsid w:val="00F83B49"/>
    <w:rsid w:val="00F94BE2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F08FC1-9705-4B91-B0E9-59E7552D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37</cp:revision>
  <cp:lastPrinted>2023-04-24T11:25:00Z</cp:lastPrinted>
  <dcterms:created xsi:type="dcterms:W3CDTF">2023-05-25T16:05:00Z</dcterms:created>
  <dcterms:modified xsi:type="dcterms:W3CDTF">2023-08-03T19:11:00Z</dcterms:modified>
</cp:coreProperties>
</file>